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C89B3C"/>
          <w:spacing w:val="100"/>
          <w:sz w:val="24"/>
          <w:szCs w:val="24"/>
        </w:rPr>
        <w:t xml:space="preserve">MODERN MANNERS &amp; MENTAL FORTITUDE</w:t>
      </w:r>
    </w:p>
    <w:p>
      <w:pPr>
        <w:spacing w:after="120" w:before="0"/>
        <w:jc w:val="center"/>
      </w:pPr>
      <w:r>
        <w:rPr>
          <w:rFonts w:ascii="Georgia" w:cs="Georgia" w:eastAsia="Georgia" w:hAnsi="Georgia"/>
          <w:b/>
          <w:bCs/>
          <w:color w:val="1B2A4A"/>
          <w:sz w:val="56"/>
          <w:szCs w:val="56"/>
        </w:rPr>
        <w:t xml:space="preserve">Teach the Teacher</w:t>
      </w:r>
    </w:p>
    <w:p>
      <w:pPr>
        <w:spacing w:after="400" w:before="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0D7377"/>
          <w:sz w:val="40"/>
          <w:szCs w:val="40"/>
        </w:rPr>
        <w:t xml:space="preserve">Training Program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2A4A"/>
          <w:sz w:val="28"/>
          <w:szCs w:val="28"/>
        </w:rPr>
        <w:t xml:space="preserve">Facilitator Handbook</w:t>
      </w:r>
    </w:p>
    <w:p>
      <w:pPr>
        <w:spacing w:after="800" w:before="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3-Day Intensive  ·  All Educator Tracks  ·  Grades 7–12 &amp; Community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A4A"/>
          <w:sz w:val="24"/>
          <w:szCs w:val="24"/>
        </w:rPr>
        <w:t xml:space="preserve">Michael R. Terry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Founder, MMMF  ·  Utah Highway Patrol Sergeant  ·  MAT Candidate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Columbia College of Missouri  ·  Kappa Delta Pi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0D7377"/>
          <w:sz w:val="20"/>
          <w:szCs w:val="20"/>
        </w:rPr>
        <w:t xml:space="preserve">readyforreal.life  ·  mikeyterry44@gmail.com</w:t>
      </w:r>
    </w:p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How to Use This Handbook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This Facilitator Handbook is your complete guide for delivering the Modern Manners &amp; Mental Fortitude (MMMF) Teach the Teacher 3-Day Training. It is designed to be used alongside the slide deck and the Participant Workbook.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What's Inside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Training overview and purpose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Day-by-day facilitator guide with speaker notes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Module deep dives with delivery tips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Assessment training — rubrics, capstone, novel scenario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Track differentiation guidance for all four educator groups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Participant workbook activities and debrief guides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Teacher Readiness Checklist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🔑 Facilitator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This handbook is for licensed MMMF facilitators only. Do not distribute or reproduce without written permission from Michael R. Terry.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Part 1: Curriculum Overview &amp; Philosophy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What Is MMMF?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Modern Manners &amp; Mental Fortitude (MMMF) is a real-world life skills program designed for Grades 7–12 and community settings. It is a 1-term course (16 weeks, 2 sessions per week) that levels up in complexity each year students participate. The same curriculum is adaptable for youth and adult community programs outside of school.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The core purpose: Transfer, not coverage. Students leave able to apply concepts independently to unfamiliar, high-stakes situations.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The Four Core Pillars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Every module and every lesson orbits around these four anchoring concepts: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01 — Respectful Communication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Tone, body language, active listening, I-statements, and repair moves across every context — school, workplace, community, and digital.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02 — Emotional Regulation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Identifying triggers, managing stress, and applying the Pause–Label–Reframe–Respond routine as a performance skill — not a therapy tool.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03 — Decision-Making Under Pressure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Pause–Options–Consequences–Choose: a structured four-step framework applied across scenarios with competing priorities and real stakes.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04 — Accountability &amp; Repair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Own it, fix it, follow through. How accountability builds trust and long-term opportunity — and why repair after a mistake is a strength.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The Two Student Frameworks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Regulation Routine (PLRR)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Used by students BEFORE making decisions. Teach this first in any session involving conflict or pressure.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P — PAUSE: Stop the automatic reaction. Create space before responding.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L — LABEL: Name the emotion. What am I actually feeling right now?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R — REFRAME: Shift perspective. What is actually happening vs. what I assumed?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R — RESPOND: Choose deliberately — aligned with values and context.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Decision-Making Framework (POCC)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Used for structured choice-making under pressure and competing priorities.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P — PAUSE: Regulate first. Good decisions require cognitive space.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O — OPTIONS: Identify multiple possible responses. What are my real choices?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C — CONSEQUENCES: Evaluate short and long-term outcomes. Who is affected and how?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C — CHOOSE: Select a response and justify it. Be able to explain the reasoning.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💡 Facilitation Tip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These two frameworks are the backbone of every module. Introduce them early on Day 1. Participants should be able to recite them fluently by the end of Day 2.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Five Modules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3960"/>
        <w:gridCol w:w="1800"/>
      </w:tblGrid>
      <w:tr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Module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Topics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Frameworks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01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Modern Manners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Eye contact, greetings, cell phone etiquette, gratitude, context-appropriate behavior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PLRR intro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02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Emotional Intelligence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Self-awareness, triggers, stress tools, mindfulness, regulation routines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PLRR deep dive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03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Conflict Navigation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Disagreement without disrespect, apologies, repair, boundaries, peer mediation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POCC + PLRR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04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Digital Citizenship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Online tone, digital permanence, reputation, privacy, boundaries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POCC focus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05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Personal Growth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Goal setting, self-assessment, integrity, capstone project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Both frameworks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Part 2: Implementation Tracks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MMMF is designed to work across multiple delivery contexts. As a licensed facilitator, you must understand the key differences between each track.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Track 1 — Grades 7–8 (Foundational)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1 term per year (16 weeks). Introductory complexity.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Focus on building shared vocabulary and basic skill application.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Scenarios: peer interactions, classroom situations, family dynamics.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Assessment: emphasis on reflection journals and formative check-ins over high-stakes tasks.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🎯 Key Differentiation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Gr. 7–8 students are still developing metacognitive awareness. Slow down the PLRR and POCC walkthroughs. Use more modeling and think-alouds.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Track 2 — Grades 9–12 (Leveling Up Annually)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1 term per year. Complexity levels up each year a student participates.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Year 1 (Gr. 9): Core concepts established. Familiar scenarios.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Year 2 (Gr. 10): Layered complexity. Competing priorities introduced.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Year 3 (Gr. 11): Dissimilar transfer. Workplace and digital dilemmas.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Year 4 (Gr. 12): Full capstone and novel scenario. Authentic audience.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📌 Spiral Design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Because students level up each year, you must know where your class is in the spiral. A new 9th grader and a returning 11th grader are not in the same place — even in the same room.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Track 3 — Community Program (Youth)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Flexible delivery: cohort-based, weekly sessions, workshop format, or intensive.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Adaptations: community centers, faith organizations, after-school programs.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Scenarios: youth-relevant community contexts, peer groups, digital life.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No formal grading — use reflection and growth-based documentation.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Track 4 — Community Program (Adult)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Workplace, family, and personal development contexts.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Same frameworks — adult-relevant scenarios (co-workers, partners, authority figures).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Use pre/post CASEL-adapted surveys for program evaluation.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Flexible pacing: weekend workshops, multi-week series, or online cohort.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🔄 Cross-Track Delivery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If you have a mixed-track group (e.g., a parent-educator workshop), anchor on the frameworks. PLRR and POCC are universal. Customize the scenarios — not the structure.</w:t>
            </w:r>
          </w:p>
        </w:tc>
      </w:tr>
    </w:tbl>
    <w:p>
      <w:pPr>
        <w:spacing w:after="80" w:before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Part 3: Day-by-Day Facilitator Guide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Day 1 — Curriculum Overview &amp; Philosophy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TOTAL TIME: 7.5 hours  ·  Objective: Participants understand MMMF's purpose, theoretical foundation, and four core pillars, and can articulate how the curriculum serves their specific track.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Opening (8:00–8:30) — Welcome, Introductions &amp; Norms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Welcome all tracks. Acknowledge the diversity in the room.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Name cards: Name + Track + One word for why they're here.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Establish group norms: respect, presence, transfer mindset.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🗣️ Speaker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Open with your story — the SRO experience, Lions Quest, 18 years in the field. Make it real. This is not a textbook course. Let participants feel that from the first 5 minutes.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Session 1 (8:30–9:30) — The Gap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Walk through the three-part framing: The Unaddressed Gap, Built from Real Experience, The Design Standard.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Facilitation move: Ask participants 'What soft skill do you wish your students had that no one is explicitly teaching?' — 3-minute pair share, report out.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Use real student/community scenarios to illustrate the gap.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Session 2 (9:30–10:30) — Theoretical Foundations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660"/>
      </w:tblGrid>
      <w:tr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Theorist</w:t>
            </w:r>
          </w:p>
        </w:tc>
        <w:tc>
          <w:tcPr>
            <w:tcW w:type="dxa" w:w="468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How It Shows Up in MMMF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Tyler (1949)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All goals are intentional, measurable. Backward design from capstone.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Bruner (1960)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Spiral curriculum — core concepts revisited with increasing complexity.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Dewey (1938)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Role-play and simulation ground learning. Reflection connects experience to concept.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CASEL (2020)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 competencies aligned to Utah CCA Core Standards.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Stern et al. (2021)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Anchoring concepts + compelling questions + dissimilar transfer tasks.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Wiles &amp; Bondi (2015)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CMP links context, goals, implementation, and evaluation.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Session 3 (10:45–12:00) — Four Core Pillars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Walk through each pillar. Use the slide deck. Then facilitate the paired discussion.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Activity: Pillar Resonance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Ask each participant: 'Which pillar do you feel most personally connected to — and which do you feel least prepared to teach?' Record on a shared whiteboard. Use the distribution to inform Day 2 pacing.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Session 4 (1:00–2:30) — Standards Alignment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Map the six learning targets to Utah CASEL and CCA Core Standards. Participants complete a standards mapping worksheet (Participant Workbook, Activity 1-A).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Session 5 (2:30–3:30) — Track Differentiation Overview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Walk through the four implementation tracks. Breakout by track (15 min): What is your biggest concern for delivery in your context? Report back.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Day 1 Close (3:30–4:00) — Reflection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📓 Reflection Prompt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In your participant workbook, respond: What surprised you most about the MMMF curriculum design? What question do you most want answered before Day 3?</w:t>
            </w:r>
          </w:p>
        </w:tc>
      </w:tr>
    </w:tbl>
    <w:p>
      <w:r>
        <w:br w:type="pag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Day 2 — Module-by-Module Deep Dive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TOTAL TIME: 7.5 hours  ·  Objective: Participants can describe and deliver each of the five modules, apply PLRR and POCC in live scenarios, and begin a track-specific pacing plan.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Module 1 (8:15–9:15) — Modern Manners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Key activities: Eye contact/greeting practice, cell phone etiquette simulation, gratitude journaling intro.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Facilitator demonstration: Model a formal greeting, then an informal one — debrief the differences.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Discussion: How does 'context-appropriate behavior' translate to your track?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Module 2 (9:15–10:15) — Emotional Intelligence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This is the PLRR deep dive. Participants must experience the framework, not just hear about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⚡ Activity: PLRR In Role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Give participants a low-stakes scenario: 'Your supervisor criticizes your lesson in front of students.' Walk through PLRR together — real time, out loud. Debrief: What did 'Pause' feel like? What was hard about 'Label'?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Module 3 (10:30–11:30) — Conflict Navigation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Live role-play with peer mediation debrief. Participants rotate through three scenarios: school, community, digital.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Debrief questions: What did the mediator do well? Where did the P–O–C–C framework break down?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Module 4 (11:30–12:00) — Digital Citizenship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Digital permanence simulation: Participants write a mock social media post, then read it back in three contexts: to their students, to their principal, to a potential employer. Debrief.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Module 5 (1:00–2:00) — Personal Growth &amp; Capstone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Walk through the Capstone 'How I Handle It' task design and the Novel Scenario structure. Participants review the rubric and rate a sample student response.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Pacing Workshop (2:00–3:15)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Participants use the Pacing Template (Participant Workbook, Activity 2-C) to adapt the 16-week schedule for their track. Facilitator circulates and provides individual coaching.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Day 2 Close (3:15–4:00)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📓 Reflection Prompt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In your workbook: Which module do you feel most ready to teach? Which needs the most preparation? What specific resource would help you most?</w:t>
            </w:r>
          </w:p>
        </w:tc>
      </w:tr>
    </w:tbl>
    <w:p>
      <w:r>
        <w:br w:type="pag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Day 3 — Facilitation Practice &amp; Assessment Training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TOTAL TIME: 7.5 hours  ·  Objective: Participants demonstrate readiness to deliver MMMF, calibrate on assessment rubrics, complete the Teacher Readiness Checklist, and receive MMMF Licensed Facilitator status.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Micro-Teaching (8:15–9:30)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Each participant delivers a 10-minute teach-back segment from any module. Peer feedback using the Micro-Teaching Observation Form (Workbook Activity 3-A). Facilitator provides structured debrief after each.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🗣️ Speaker Note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Be direct but kind in your feedback. The standard is: could this educator walk into a classroom or community session on Monday and deliver this with fidelity? If not — that's okay. Name it. Give them a growth target.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Scenario Simulation Lab (9:30–10:30)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Participants rotate through four live student scenarios. They practice: activating PLRR with a visibly dysregulated 'student' (role-played), walking a 'student' through POCC on a digital citizenship dilemma, running a peer mediation using Module 3 tools, debriefing a capstone draft using the rubric.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Assessment Deep Dive (10:45–12:00)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Facilitator walks through all six assessment tools. Participants calibrate using sample student work.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4680"/>
      </w:tblGrid>
      <w:tr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Assessment</w:t>
            </w:r>
          </w:p>
        </w:tc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Calibration Activity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Weekly Reflection Journals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Formative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Score two sample journals. Compare. Discuss variance.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Concept Sorting &amp; Exit Reflections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Formative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Review examples from each performance level.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Scenario Analysis &amp; Role-Play Rubrics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Formative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Watch a role-play video clip. Score with rubric. Debrief.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Pre/Post CASEL Self-Efficacy Surveys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Formative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Review survey structure. Practice scoring.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"How I Handle It" Capstone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Summative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Score three sample capstone presentations. Calibrate.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Novel Scenario Performance Task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Summative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Design one novel scenario for your specific track.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Track Breakouts (1:00–2:00)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Breakout by implementation track. Each group addresses: top 3 delivery challenges, 3 scenario ideas for their context, one data point they'll collect in the first 4 weeks.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Teacher Readiness Checklist (2:00–3:00)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Participants complete the Teacher Readiness Self-Assessment (Workbook Activity 3-D). Facilitator reviews with each participant individually during this time.</w:t>
      </w:r>
    </w:p>
    <w:p>
      <w:pPr>
        <w:spacing w:after="8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B2A4A"/>
          <w:sz w:val="22"/>
          <w:szCs w:val="22"/>
        </w:rPr>
        <w:t xml:space="preserve">Certification &amp; Closing (3:00–4:00)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Participants who meet the readiness standard receive MMMF Licensed Facilitator status. Review the Facilitator Agreement and materials package.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D7377" w:sz="6"/>
              <w:left w:val="single" w:color="0D7377" w:sz="6"/>
              <w:bottom w:val="single" w:color="E5E7EB" w:sz="1"/>
              <w:right w:val="single" w:color="E5E7EB" w:sz="1"/>
            </w:tcBorders>
            <w:shd w:fill="E8F4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D7377"/>
                <w:sz w:val="20"/>
                <w:szCs w:val="20"/>
              </w:rPr>
              <w:t xml:space="preserve">📓 Closing Reflection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374151"/>
                <w:sz w:val="20"/>
                <w:szCs w:val="20"/>
              </w:rPr>
              <w:t xml:space="preserve">Final prompt: 'What is one thing you will do differently in your classroom or community session next week because of this training?' Write it down. Sign it.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Part 4: Assessment &amp; Rubric Guide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The Capstone Rubric — How I Handle It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This is the primary summative assessment. Use the rubric below to evaluate student capstone presentations.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20"/>
        <w:gridCol w:w="2520"/>
        <w:gridCol w:w="2520"/>
      </w:tblGrid>
      <w:tr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Criteria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Exceeds (10)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Meets (8)</w:t>
            </w:r>
          </w:p>
        </w:tc>
        <w:tc>
          <w:tcPr>
            <w:tcW w:type="dxa" w:w="234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Needs Improvement (5)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Clarity of Scenario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Clear, relatable, thoughtfully chosen with real-world grounding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Relevant and understandable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Unclear or vague scenario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Application of Strategies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Demonstrates mastery with nuanced, layered application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Applies most tools correctly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Few or incorrect applications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Self-Reflection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Insightful, honest, shows genuine growth awareness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Basic self-reflection shown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Minimal or shallow insight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Delivery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Confident, clear, and engaging throughout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Clear but with minor issues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Unclear or difficult to follow</w:t>
            </w:r>
          </w:p>
        </w:tc>
      </w:tr>
      <w:tr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Visual/Support Materials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Effective, well-prepared, enhances the presentation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Basic visuals included</w:t>
            </w:r>
          </w:p>
        </w:tc>
        <w:tc>
          <w:tcPr>
            <w:tcW w:type="dxa" w:w="23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Missing or ineffective visuals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D7377"/>
          <w:sz w:val="26"/>
          <w:szCs w:val="26"/>
        </w:rPr>
        <w:t xml:space="preserve">Weekly Reflection Journal Prompts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Use these five prompts every week. They build metacognitive awareness and track transfer over time.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What was one skill or idea you practiced this week?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How did it go when you applied it outside the classroom?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What would you do differently next time?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How did someone else demonstrate good manners or emotional control this week?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What is one goal you want to set for next week?</w:t>
      </w:r>
    </w:p>
    <w:p>
      <w:r>
        <w:br w:type="page"/>
      </w:r>
    </w:p>
    <w:p>
      <w:pPr>
        <w:pStyle w:val="Heading1"/>
        <w:pBdr>
          <w:bottom w:val="single" w:color="C89B3C" w:sz="4" w:space="4"/>
        </w:pBdr>
        <w:spacing w:after="200" w:before="400"/>
      </w:pPr>
      <w:r>
        <w:rPr>
          <w:rFonts w:ascii="Georgia" w:cs="Georgia" w:eastAsia="Georgia" w:hAnsi="Georgia"/>
          <w:b/>
          <w:bCs/>
          <w:color w:val="1B2A4A"/>
          <w:sz w:val="32"/>
          <w:szCs w:val="32"/>
        </w:rPr>
        <w:t xml:space="preserve">Part 5: Teacher Readiness Checklist</w:t>
      </w:r>
    </w:p>
    <w:p>
      <w:pPr>
        <w:spacing w:after="80" w:before="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Complete this checklist before receiving MMMF Licensed Facilitator status. Be honest. Areas marked 'Not Yet' become your immediate growth targets.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1500"/>
        <w:gridCol w:w="1500"/>
      </w:tblGrid>
      <w:tr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Readiness Indicator</w:t>
            </w:r>
          </w:p>
        </w:tc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Yes</w:t>
            </w:r>
          </w:p>
        </w:tc>
        <w:tc>
          <w:tcPr>
            <w:tcW w:type="dxa" w:w="312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1B2A4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 Yet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can explain the purpose and design philosophy of MMMF in 60 seconds.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can recite and model both the PLRR and POCC frameworks without notes.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can describe the key difference between Gr. 7-8, 9-12, and Community tracks.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have completed a 16-week pacing plan for my specific track.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can facilitate a PLRR or POCC scenario debrief in real time.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understand when to use formative vs. summative assessment in MMMF.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can score a capstone presentation using the How I Handle It rubric.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have designed at least one novel scenario for my specific student population.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understand the spiral design and can explain why content levels up each year.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0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 am ready to begin delivering MMMF with fidelity in my next session.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  <w:tc>
          <w:tcPr>
            <w:tcW w:type="dxa" w:w="31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pacing w:after="200" w:before="400"/>
      </w:pPr>
      <w:r>
        <w:rPr>
          <w:rFonts w:ascii="Arial" w:cs="Arial" w:eastAsia="Arial" w:hAnsi="Arial"/>
          <w:color w:val="1B2A4A"/>
          <w:sz w:val="22"/>
          <w:szCs w:val="22"/>
        </w:rPr>
        <w:t xml:space="preserve">Facilitator Signature: _________________________________     Date: _______________</w:t>
      </w:r>
    </w:p>
    <w:p>
      <w:pPr>
        <w:spacing w:after="200" w:before="200"/>
      </w:pPr>
      <w:r>
        <w:rPr>
          <w:rFonts w:ascii="Arial" w:cs="Arial" w:eastAsia="Arial" w:hAnsi="Arial"/>
          <w:color w:val="1B2A4A"/>
          <w:sz w:val="22"/>
          <w:szCs w:val="22"/>
        </w:rPr>
        <w:t xml:space="preserve">Participant Signature: _________________________________     Date: _______________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© Michael R. Terry  ·  Modern Manners &amp; Mental Fortitude  ·  readyforreal.life  ·  Protected Intellectual Property</w:t>
      </w:r>
    </w:p>
    <w:sectPr>
      <w:headerReference w:type="default" r:id="rId7"/>
      <w:footerReference w:type="default" r:id="rId8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9B3C" w:sz="4" w:space="4"/>
      </w:pBdr>
    </w:pPr>
    <w:r>
      <w:rPr>
        <w:rFonts w:ascii="Arial" w:cs="Arial" w:eastAsia="Arial" w:hAnsi="Arial"/>
        <w:color w:val="6B7280"/>
        <w:sz w:val="16"/>
        <w:szCs w:val="16"/>
      </w:rPr>
      <w:t xml:space="preserve">© Michael R. Terry  ·  readyforreal.life  ·  MMMF Licensed Facilitators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9B3C" w:sz="4" w:space="4"/>
      </w:pBdr>
    </w:pPr>
    <w:r>
      <w:rPr>
        <w:rFonts w:ascii="Arial" w:cs="Arial" w:eastAsia="Arial" w:hAnsi="Arial"/>
        <w:color w:val="1B2A4A"/>
        <w:sz w:val="18"/>
        <w:szCs w:val="18"/>
      </w:rPr>
      <w:t xml:space="preserve">MMMF — Teach the Teacher Facilitator Handbook</w:t>
    </w:r>
    <w:r>
      <w:rPr>
        <w:rFonts w:ascii="Arial" w:cs="Arial" w:eastAsia="Arial" w:hAnsi="Arial"/>
        <w:color w:val="6B7280"/>
        <w:sz w:val="18"/>
        <w:szCs w:val="18"/>
      </w:rPr>
      <w:t xml:space="preserve">  ·  Confidential — Licensed Educators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Georgia" w:cs="Georgia" w:eastAsia="Georgia" w:hAnsi="Georgia"/>
      <w:b/>
      <w:bCs/>
      <w:color w:val="1B2A4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D737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2026-03-20T16:27:24.185Z</dcterms:created>
  <dcterms:modified xsi:type="dcterms:W3CDTF">2026-03-20T16:27:24.187Z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